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1583FF" w14:textId="6E5423FD"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ED7600">
        <w:rPr>
          <w:rFonts w:ascii="Arial" w:eastAsia="SimSun" w:hAnsi="Arial" w:cs="Times New Roman"/>
          <w:b/>
          <w:sz w:val="24"/>
          <w:szCs w:val="20"/>
          <w:lang w:val="en-GB"/>
        </w:rPr>
        <w:t>WG4 Meeting #</w:t>
      </w:r>
      <w:r w:rsidR="00150F7F">
        <w:rPr>
          <w:rFonts w:ascii="Arial" w:eastAsia="SimSun" w:hAnsi="Arial" w:cs="Times New Roman"/>
          <w:b/>
          <w:sz w:val="24"/>
          <w:szCs w:val="20"/>
          <w:lang w:val="en-GB"/>
        </w:rPr>
        <w:t>90</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002A6F3D" w:rsidRPr="002A6F3D">
        <w:rPr>
          <w:rFonts w:ascii="Arial" w:eastAsia="SimSun" w:hAnsi="Arial" w:cs="Times New Roman"/>
          <w:b/>
          <w:bCs/>
          <w:sz w:val="24"/>
          <w:szCs w:val="20"/>
          <w:lang w:val="en-GB" w:eastAsia="ja-JP"/>
        </w:rPr>
        <w:t>R4-19000</w:t>
      </w:r>
      <w:r w:rsidR="001729EA">
        <w:rPr>
          <w:rFonts w:ascii="Arial" w:eastAsia="SimSun" w:hAnsi="Arial" w:cs="Times New Roman"/>
          <w:b/>
          <w:bCs/>
          <w:sz w:val="24"/>
          <w:szCs w:val="20"/>
          <w:lang w:val="en-GB" w:eastAsia="ja-JP"/>
        </w:rPr>
        <w:t>38</w:t>
      </w:r>
    </w:p>
    <w:p w14:paraId="2C75A049" w14:textId="6DAF4428" w:rsidR="00841BCD" w:rsidRPr="00841BCD" w:rsidRDefault="00150F7F"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Athens, Greece, 25 Feb – 1 Mar 2019</w:t>
      </w:r>
    </w:p>
    <w:bookmarkEnd w:id="0"/>
    <w:bookmarkEnd w:id="1"/>
    <w:p w14:paraId="3792D169"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16786829" w14:textId="7CEF7EA9"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r>
      <w:r w:rsidR="001729EA">
        <w:rPr>
          <w:rFonts w:ascii="Arial" w:eastAsia="Calibri" w:hAnsi="Arial" w:cs="Arial"/>
          <w:b/>
          <w:bCs/>
          <w:sz w:val="24"/>
          <w:lang w:val="en-GB"/>
        </w:rPr>
        <w:t>U.S. Cellular</w:t>
      </w:r>
      <w:r w:rsidRPr="00841BCD" w:rsidDel="00636277">
        <w:rPr>
          <w:rFonts w:ascii="Arial" w:eastAsia="Calibri" w:hAnsi="Arial" w:cs="Arial"/>
          <w:b/>
          <w:bCs/>
          <w:sz w:val="24"/>
          <w:lang w:val="en-GB"/>
        </w:rPr>
        <w:t xml:space="preserve"> </w:t>
      </w:r>
    </w:p>
    <w:p w14:paraId="2440BD85" w14:textId="130F397F"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1729EA">
        <w:rPr>
          <w:rFonts w:ascii="Arial" w:eastAsia="Calibri" w:hAnsi="Arial" w:cs="Arial"/>
          <w:b/>
          <w:bCs/>
          <w:sz w:val="24"/>
          <w:lang w:val="en-GB"/>
        </w:rPr>
        <w:t>Decoupling of UE UL/DL user plane traffic</w:t>
      </w:r>
      <w:r w:rsidR="006F76A2">
        <w:rPr>
          <w:rFonts w:ascii="Arial" w:eastAsia="Calibri" w:hAnsi="Arial" w:cs="Arial"/>
          <w:b/>
          <w:bCs/>
          <w:sz w:val="24"/>
          <w:lang w:val="en-GB"/>
        </w:rPr>
        <w:t xml:space="preserve"> using split bearer</w:t>
      </w:r>
    </w:p>
    <w:p w14:paraId="62B35BE0" w14:textId="026A6F52"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1729EA">
        <w:rPr>
          <w:rFonts w:ascii="Arial" w:eastAsia="MS Mincho" w:hAnsi="Arial" w:cs="Arial"/>
          <w:b/>
          <w:bCs/>
          <w:sz w:val="24"/>
          <w:szCs w:val="20"/>
          <w:lang w:val="en-GB"/>
        </w:rPr>
        <w:t>9.3</w:t>
      </w:r>
    </w:p>
    <w:p w14:paraId="15D881EF" w14:textId="1861783D"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00E30C0C">
        <w:rPr>
          <w:rFonts w:ascii="Arial" w:eastAsia="Calibri" w:hAnsi="Arial" w:cs="Arial"/>
          <w:b/>
          <w:bCs/>
          <w:sz w:val="24"/>
          <w:lang w:val="en-GB"/>
        </w:rPr>
        <w:t>Discussion</w:t>
      </w:r>
    </w:p>
    <w:p w14:paraId="2DFD7455" w14:textId="77777777" w:rsidR="00841BCD" w:rsidRDefault="00841BCD" w:rsidP="00A37002">
      <w:pPr>
        <w:pStyle w:val="RAN4H1"/>
      </w:pPr>
      <w:r w:rsidRPr="00AE56B1">
        <w:t>Intro</w:t>
      </w:r>
      <w:r w:rsidRPr="00AE56B1">
        <w:rPr>
          <w:rStyle w:val="RAN4H1Char"/>
        </w:rPr>
        <w:t>ductio</w:t>
      </w:r>
      <w:r w:rsidRPr="00AE56B1">
        <w:t>n</w:t>
      </w:r>
    </w:p>
    <w:p w14:paraId="229C31DA" w14:textId="77777777" w:rsidR="001729EA" w:rsidRPr="001729EA" w:rsidRDefault="001729EA" w:rsidP="001729EA">
      <w:pPr>
        <w:rPr>
          <w:lang w:val="en-GB"/>
        </w:rPr>
      </w:pPr>
      <w:r w:rsidRPr="001729EA">
        <w:rPr>
          <w:lang w:val="en-GB"/>
        </w:rPr>
        <w:t xml:space="preserve">Dual connectivity provides flexible opportunities in heterogeneous network deployments scenarios. In one such category of scenarios, access for the UE </w:t>
      </w:r>
      <w:proofErr w:type="gramStart"/>
      <w:r w:rsidRPr="001729EA">
        <w:rPr>
          <w:lang w:val="en-GB"/>
        </w:rPr>
        <w:t>is  provided</w:t>
      </w:r>
      <w:proofErr w:type="gramEnd"/>
      <w:r w:rsidRPr="001729EA">
        <w:rPr>
          <w:lang w:val="en-GB"/>
        </w:rPr>
        <w:t xml:space="preserve"> via LTE access for the primary cell (MCG – Main Cell Group) for macro coverage, over a sub 6GHz radio channel, and via NR access for the secondary cell (SCG – Secondary Cell Group) for small cell coverage, over </w:t>
      </w:r>
      <w:proofErr w:type="spellStart"/>
      <w:r w:rsidRPr="001729EA">
        <w:rPr>
          <w:lang w:val="en-GB"/>
        </w:rPr>
        <w:t>millimeter</w:t>
      </w:r>
      <w:proofErr w:type="spellEnd"/>
      <w:r w:rsidRPr="001729EA">
        <w:rPr>
          <w:lang w:val="en-GB"/>
        </w:rPr>
        <w:t xml:space="preserve"> wave (mmWave) radio channel. In such </w:t>
      </w:r>
      <w:proofErr w:type="spellStart"/>
      <w:r w:rsidRPr="001729EA">
        <w:rPr>
          <w:lang w:val="en-GB"/>
        </w:rPr>
        <w:t>as</w:t>
      </w:r>
      <w:proofErr w:type="spellEnd"/>
      <w:r w:rsidRPr="001729EA">
        <w:rPr>
          <w:lang w:val="en-GB"/>
        </w:rPr>
        <w:t xml:space="preserve"> scenario, it is possible for the user plane traffic on the UL to be decoupled from the SCG and directed entirely over the UL to the MCG, using the split bearer option.</w:t>
      </w:r>
    </w:p>
    <w:p w14:paraId="5D314D50" w14:textId="77777777" w:rsidR="001729EA" w:rsidRPr="001729EA" w:rsidRDefault="001729EA" w:rsidP="001729EA">
      <w:pPr>
        <w:rPr>
          <w:lang w:val="en-GB"/>
        </w:rPr>
      </w:pPr>
      <w:r w:rsidRPr="001729EA">
        <w:rPr>
          <w:lang w:val="en-GB"/>
        </w:rPr>
        <w:t xml:space="preserve">One type of optimization consists of a user plane range extension for the DL (downlink) coverage for the SCG, while the user plane for the UE </w:t>
      </w:r>
      <w:proofErr w:type="gramStart"/>
      <w:r w:rsidRPr="001729EA">
        <w:rPr>
          <w:lang w:val="en-GB"/>
        </w:rPr>
        <w:t>UL(</w:t>
      </w:r>
      <w:proofErr w:type="gramEnd"/>
      <w:r w:rsidRPr="001729EA">
        <w:rPr>
          <w:lang w:val="en-GB"/>
        </w:rPr>
        <w:t>uplink) is directed over the MCG coverage area.</w:t>
      </w:r>
    </w:p>
    <w:p w14:paraId="7E43D622" w14:textId="3E167756" w:rsidR="00150F7F" w:rsidRDefault="001729EA" w:rsidP="001729EA">
      <w:pPr>
        <w:rPr>
          <w:lang w:val="en-GB"/>
        </w:rPr>
      </w:pPr>
      <w:r w:rsidRPr="001729EA">
        <w:rPr>
          <w:lang w:val="en-GB"/>
        </w:rPr>
        <w:t>Reference specifications: TS38.300 (Stage-2 radio network specification), TS38.331. TS38.322, TS38.323, and RF inter-band DC work-in-progress.</w:t>
      </w:r>
    </w:p>
    <w:p w14:paraId="7EECEA4A" w14:textId="61E52718" w:rsidR="006F76A2" w:rsidRDefault="006F76A2" w:rsidP="001729EA">
      <w:pPr>
        <w:rPr>
          <w:lang w:val="en-GB"/>
        </w:rPr>
      </w:pPr>
    </w:p>
    <w:p w14:paraId="2F19BAA2" w14:textId="77777777" w:rsidR="006F76A2" w:rsidRPr="005C23A4" w:rsidRDefault="006F76A2" w:rsidP="001729EA">
      <w:pPr>
        <w:rPr>
          <w:lang w:val="en-GB"/>
        </w:rPr>
      </w:pPr>
    </w:p>
    <w:p w14:paraId="465CB815" w14:textId="1B7D9F87" w:rsidR="001729EA" w:rsidRDefault="001729EA" w:rsidP="001729EA">
      <w:pPr>
        <w:pStyle w:val="RAN4H1"/>
      </w:pPr>
      <w:r w:rsidRPr="001729EA">
        <w:t>Specifications for decoupling UL/DL user plane traffic</w:t>
      </w:r>
    </w:p>
    <w:p w14:paraId="3D5DC4DA" w14:textId="1B396F84" w:rsidR="006F76A2" w:rsidRPr="006F76A2" w:rsidRDefault="006F76A2" w:rsidP="006F76A2">
      <w:pPr>
        <w:rPr>
          <w:lang w:val="en-GB"/>
        </w:rPr>
      </w:pPr>
      <w:r w:rsidRPr="006F76A2">
        <w:rPr>
          <w:rFonts w:eastAsia="Calibri" w:cs="Times New Roman"/>
          <w:noProof/>
          <w:szCs w:val="20"/>
        </w:rPr>
        <w:drawing>
          <wp:inline distT="0" distB="0" distL="0" distR="0" wp14:anchorId="0577CC7C" wp14:editId="7E55D698">
            <wp:extent cx="6113145" cy="3244305"/>
            <wp:effectExtent l="0" t="0" r="190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N-DC_standards_reference_diagram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13145" cy="3244305"/>
                    </a:xfrm>
                    <a:prstGeom prst="rect">
                      <a:avLst/>
                    </a:prstGeom>
                  </pic:spPr>
                </pic:pic>
              </a:graphicData>
            </a:graphic>
          </wp:inline>
        </w:drawing>
      </w:r>
    </w:p>
    <w:p w14:paraId="2B8D5530" w14:textId="3E736487" w:rsidR="006F76A2" w:rsidRDefault="006F76A2" w:rsidP="006F76A2">
      <w:pPr>
        <w:pStyle w:val="RAN4H1"/>
      </w:pPr>
      <w:r w:rsidRPr="006F76A2">
        <w:lastRenderedPageBreak/>
        <w:t>Pseudo-code for decoupling UL/DL user plane traffic with all of the UE UL traffic directed towards the MCG (Master Cell Group)</w:t>
      </w:r>
    </w:p>
    <w:p w14:paraId="4302087B" w14:textId="77777777" w:rsidR="006F76A2" w:rsidRDefault="006F76A2" w:rsidP="006F76A2">
      <w:r>
        <w:t>The pseudo-code that leverages the interoperable enablers, in a band independent manner, at the MAC, RLC, and PDCP layers, for a decoupling of the UL/DL user plane traffic is depicted below. The path of execution for decoupling the ULDL user plane traffic, with all of the UE UL traffic directed to the MCG is shown in bold, in the following pseudo-code, from TS38.331.</w:t>
      </w:r>
    </w:p>
    <w:p w14:paraId="400C3C23" w14:textId="77777777" w:rsidR="006F76A2" w:rsidRDefault="006F76A2" w:rsidP="006F76A2">
      <w:pPr>
        <w:pStyle w:val="bullet-1"/>
      </w:pPr>
      <w:r w:rsidRPr="003036C9">
        <w:rPr>
          <w:b/>
        </w:rPr>
        <w:t>Configure through RRC, the primary RLC entity, which is the MCG to be set to the MCG (LTE)</w:t>
      </w:r>
      <w:r>
        <w:t xml:space="preserve">  -</w:t>
      </w:r>
      <w:r w:rsidRPr="009138A0">
        <w:rPr>
          <w:i/>
        </w:rPr>
        <w:t xml:space="preserve"> [See TS38.331</w:t>
      </w:r>
      <w:r>
        <w:rPr>
          <w:i/>
        </w:rPr>
        <w:t>]</w:t>
      </w:r>
    </w:p>
    <w:p w14:paraId="306BE24F" w14:textId="77777777" w:rsidR="006F76A2" w:rsidRPr="008D27AD" w:rsidRDefault="006F76A2" w:rsidP="006F76A2">
      <w:pPr>
        <w:pStyle w:val="bullet-1"/>
      </w:pPr>
      <w:r w:rsidRPr="003036C9">
        <w:rPr>
          <w:b/>
        </w:rPr>
        <w:t xml:space="preserve">Set the variable </w:t>
      </w:r>
      <w:r w:rsidRPr="003036C9">
        <w:rPr>
          <w:b/>
          <w:i/>
        </w:rPr>
        <w:t>ul-DataSplitThreshold</w:t>
      </w:r>
      <w:r w:rsidRPr="003036C9">
        <w:rPr>
          <w:b/>
          <w:i/>
          <w:iCs/>
        </w:rPr>
        <w:t xml:space="preserve"> = </w:t>
      </w:r>
      <w:r w:rsidRPr="003036C9">
        <w:rPr>
          <w:b/>
          <w:iCs/>
        </w:rPr>
        <w:t>infinity</w:t>
      </w:r>
      <w:r w:rsidRPr="008D27AD">
        <w:rPr>
          <w:iCs/>
        </w:rPr>
        <w:t xml:space="preserve"> </w:t>
      </w:r>
      <w:r w:rsidRPr="008D27AD">
        <w:rPr>
          <w:i/>
        </w:rPr>
        <w:t>[See TS38.331]</w:t>
      </w:r>
    </w:p>
    <w:p w14:paraId="35D5B123" w14:textId="77777777" w:rsidR="006F76A2" w:rsidRDefault="006F76A2" w:rsidP="006F76A2">
      <w:pPr>
        <w:pStyle w:val="bullet-1"/>
        <w:numPr>
          <w:ilvl w:val="1"/>
          <w:numId w:val="23"/>
        </w:numPr>
      </w:pPr>
      <w:r>
        <w:t>The above value is selected from an enumeration of values bitwise data sizes that are specified as shown below:</w:t>
      </w:r>
    </w:p>
    <w:p w14:paraId="61F96DA5" w14:textId="77777777" w:rsidR="006F76A2" w:rsidRPr="008D27AD" w:rsidRDefault="006F76A2" w:rsidP="006F76A2">
      <w:pPr>
        <w:ind w:left="1440" w:firstLine="720"/>
      </w:pPr>
      <w:r w:rsidRPr="008D27AD">
        <w:t>UL-DataSplitThreshold ::= ENUMERATED {</w:t>
      </w:r>
    </w:p>
    <w:p w14:paraId="38F03C4B" w14:textId="77777777" w:rsidR="006F76A2" w:rsidRPr="008D27AD" w:rsidRDefault="006F76A2" w:rsidP="006F76A2">
      <w:pPr>
        <w:ind w:left="2880"/>
      </w:pPr>
      <w:r w:rsidRPr="008D27AD">
        <w:t>b0, b100, b200, b400, b800, b1600, b3200, b6400, b12800, b25600, b51200, b102400, b204800,</w:t>
      </w:r>
    </w:p>
    <w:p w14:paraId="7345CB8E" w14:textId="77777777" w:rsidR="006F76A2" w:rsidRPr="008D27AD" w:rsidRDefault="006F76A2" w:rsidP="006F76A2">
      <w:pPr>
        <w:ind w:left="2880"/>
      </w:pPr>
      <w:r w:rsidRPr="008D27AD">
        <w:t>b409600, b819200, b1228800, b1638400, b2457600, b3276800, b4096000, b4915200, b5734400,</w:t>
      </w:r>
      <w:r>
        <w:t xml:space="preserve">  </w:t>
      </w:r>
      <w:r w:rsidRPr="008D27AD">
        <w:t>b6553600, infinity, spare8, spare7, spare6, spare5, spare4, spare3, spare2, spare1}</w:t>
      </w:r>
      <w:r w:rsidRPr="008D27AD">
        <w:rPr>
          <w:rFonts w:ascii="Segoe UI" w:hAnsi="Segoe UI" w:cs="Segoe UI"/>
          <w:color w:val="000000"/>
        </w:rPr>
        <w:t xml:space="preserve"> </w:t>
      </w:r>
    </w:p>
    <w:p w14:paraId="579EFD45" w14:textId="77777777" w:rsidR="006F76A2" w:rsidRPr="009341F5" w:rsidRDefault="006F76A2" w:rsidP="006F76A2">
      <w:pPr>
        <w:pStyle w:val="bullet-1"/>
        <w:rPr>
          <w:i/>
        </w:rPr>
      </w:pPr>
      <w:r>
        <w:t xml:space="preserve">If </w:t>
      </w:r>
      <w:r w:rsidRPr="008D27AD">
        <w:t>the two associated RLC entities belong to the different Cell Groups; and</w:t>
      </w:r>
      <w:r>
        <w:t xml:space="preserve">      </w:t>
      </w:r>
      <w:r w:rsidRPr="009341F5">
        <w:rPr>
          <w:i/>
        </w:rPr>
        <w:t>[See TS 38.323]</w:t>
      </w:r>
    </w:p>
    <w:p w14:paraId="0967357C" w14:textId="77777777" w:rsidR="006F76A2" w:rsidRDefault="006F76A2" w:rsidP="006F76A2">
      <w:pPr>
        <w:pStyle w:val="bullet-1"/>
        <w:numPr>
          <w:ilvl w:val="0"/>
          <w:numId w:val="0"/>
        </w:numPr>
        <w:ind w:left="720"/>
        <w:rPr>
          <w:i/>
        </w:rPr>
      </w:pPr>
      <w:r>
        <w:t xml:space="preserve">If </w:t>
      </w:r>
      <w:r w:rsidRPr="008D27AD">
        <w:t xml:space="preserve">the total amount of PDCP data volume and RLC data volume pending for initial transmission (as specified in </w:t>
      </w:r>
      <w:r w:rsidRPr="008D27AD">
        <w:rPr>
          <w:i/>
        </w:rPr>
        <w:t>TS 38.322</w:t>
      </w:r>
      <w:r>
        <w:t xml:space="preserve">) </w:t>
      </w:r>
      <w:r w:rsidRPr="008D27AD">
        <w:t xml:space="preserve">in the two associated RLC entities is equal to or larger than </w:t>
      </w:r>
      <w:r w:rsidRPr="003036C9">
        <w:rPr>
          <w:i/>
        </w:rPr>
        <w:t>ul-DataSplitThreshold:</w:t>
      </w:r>
    </w:p>
    <w:p w14:paraId="577B7B5C" w14:textId="77777777" w:rsidR="006F76A2" w:rsidRDefault="006F76A2" w:rsidP="006F76A2">
      <w:pPr>
        <w:pStyle w:val="bullet-1"/>
        <w:numPr>
          <w:ilvl w:val="0"/>
          <w:numId w:val="0"/>
        </w:numPr>
        <w:ind w:left="1440"/>
      </w:pPr>
      <w:r>
        <w:t>Submit the PDCP PDU (Protocol Data Unit) to either the primary RLC entity or the secondary RLC entity;</w:t>
      </w:r>
    </w:p>
    <w:p w14:paraId="373863CC" w14:textId="77777777" w:rsidR="006F76A2" w:rsidRDefault="006F76A2" w:rsidP="006F76A2">
      <w:pPr>
        <w:pStyle w:val="bullet-1"/>
        <w:numPr>
          <w:ilvl w:val="0"/>
          <w:numId w:val="0"/>
        </w:numPr>
        <w:ind w:left="1440"/>
      </w:pPr>
      <w:r>
        <w:t>Else</w:t>
      </w:r>
    </w:p>
    <w:p w14:paraId="6BE45E77" w14:textId="6F03E048" w:rsidR="006F76A2" w:rsidRPr="006F76A2" w:rsidRDefault="006F76A2" w:rsidP="006F76A2">
      <w:pPr>
        <w:pStyle w:val="bullet-1"/>
        <w:numPr>
          <w:ilvl w:val="0"/>
          <w:numId w:val="0"/>
        </w:numPr>
        <w:ind w:left="1440"/>
        <w:rPr>
          <w:b/>
        </w:rPr>
      </w:pPr>
      <w:r w:rsidRPr="003036C9">
        <w:rPr>
          <w:b/>
        </w:rPr>
        <w:t>Submit the PDCP PDU to the primary RLC entity</w:t>
      </w:r>
    </w:p>
    <w:p w14:paraId="05EBDB90" w14:textId="71C71BBD" w:rsidR="003B659E" w:rsidRDefault="006F76A2" w:rsidP="00AE56B1">
      <w:pPr>
        <w:pStyle w:val="RAN4H1"/>
      </w:pPr>
      <w:r>
        <w:t>Conclusion</w:t>
      </w:r>
    </w:p>
    <w:p w14:paraId="0DBC4730" w14:textId="7659B8FE" w:rsidR="006F76A2" w:rsidRDefault="006F76A2" w:rsidP="006F76A2">
      <w:r>
        <w:t xml:space="preserve">This configuration sequence among others, which is specified in the RF band independent suite of specifications, is applicable for enabling a decoupling of UE UL/DL user plane traffic, </w:t>
      </w:r>
      <w:r w:rsidR="00F8175B">
        <w:t xml:space="preserve">using a split bearer arrangement, </w:t>
      </w:r>
      <w:r>
        <w:t xml:space="preserve">such that all of the UE UL user plane traffic is carried over the MCG (LTE), while the SCG (NR) only carries the user plane traffic in the DL. This configuration sequence is selectable as part of the Release-15 suite of radio network specifications. </w:t>
      </w:r>
    </w:p>
    <w:p w14:paraId="2624A554" w14:textId="424A6AF8" w:rsidR="006F76A2" w:rsidRDefault="006F76A2" w:rsidP="006F76A2">
      <w:r>
        <w:t>The UE UL/DL user plane traffic decoupling configuration</w:t>
      </w:r>
      <w:r w:rsidR="00F8175B">
        <w:t>, using a split bearer arrangement,</w:t>
      </w:r>
      <w:r>
        <w:t xml:space="preserve"> is </w:t>
      </w:r>
      <w:r w:rsidR="00F8175B">
        <w:t>applicable as needed</w:t>
      </w:r>
      <w:bookmarkStart w:id="3" w:name="_GoBack"/>
      <w:bookmarkEnd w:id="3"/>
      <w:r>
        <w:t xml:space="preserve"> for the following EN-DC scenarios (1LTE band +1NR band), which are a work-in-progress:</w:t>
      </w:r>
    </w:p>
    <w:tbl>
      <w:tblPr>
        <w:tblStyle w:val="TableGrid"/>
        <w:tblW w:w="0" w:type="auto"/>
        <w:tblLook w:val="04A0" w:firstRow="1" w:lastRow="0" w:firstColumn="1" w:lastColumn="0" w:noHBand="0" w:noVBand="1"/>
      </w:tblPr>
      <w:tblGrid>
        <w:gridCol w:w="1673"/>
        <w:gridCol w:w="1619"/>
        <w:gridCol w:w="1583"/>
        <w:gridCol w:w="1583"/>
        <w:gridCol w:w="1583"/>
      </w:tblGrid>
      <w:tr w:rsidR="006F76A2" w14:paraId="591E15E8" w14:textId="77777777" w:rsidTr="0057566C">
        <w:tc>
          <w:tcPr>
            <w:tcW w:w="1673" w:type="dxa"/>
          </w:tcPr>
          <w:p w14:paraId="66E760D4" w14:textId="77777777" w:rsidR="006F76A2" w:rsidRDefault="006F76A2" w:rsidP="0057566C">
            <w:r w:rsidRPr="00DD5F47">
              <w:t>DC_12A_n257A</w:t>
            </w:r>
          </w:p>
        </w:tc>
        <w:tc>
          <w:tcPr>
            <w:tcW w:w="1583" w:type="dxa"/>
          </w:tcPr>
          <w:p w14:paraId="557A92A2" w14:textId="77777777" w:rsidR="006F76A2" w:rsidRDefault="006F76A2" w:rsidP="0057566C">
            <w:r w:rsidRPr="00DD5F47">
              <w:t>DC_12A_n258</w:t>
            </w:r>
            <w:r>
              <w:rPr>
                <w:rStyle w:val="EndnoteReference"/>
              </w:rPr>
              <w:endnoteReference w:id="1"/>
            </w:r>
            <w:r w:rsidRPr="00DD5F47">
              <w:t>A</w:t>
            </w:r>
          </w:p>
        </w:tc>
        <w:tc>
          <w:tcPr>
            <w:tcW w:w="1583" w:type="dxa"/>
          </w:tcPr>
          <w:p w14:paraId="5A584716" w14:textId="77777777" w:rsidR="006F76A2" w:rsidRDefault="006F76A2" w:rsidP="0057566C">
            <w:r w:rsidRPr="00DD5F47">
              <w:t>DC_12A_n260A</w:t>
            </w:r>
          </w:p>
        </w:tc>
        <w:tc>
          <w:tcPr>
            <w:tcW w:w="1583" w:type="dxa"/>
          </w:tcPr>
          <w:p w14:paraId="07AC08F6" w14:textId="77777777" w:rsidR="006F76A2" w:rsidRPr="00DD5F47" w:rsidRDefault="006F76A2" w:rsidP="0057566C">
            <w:r w:rsidRPr="00DD5F47">
              <w:t>DC_</w:t>
            </w:r>
            <w:r>
              <w:t>12</w:t>
            </w:r>
            <w:r w:rsidRPr="00DD5F47">
              <w:t>A_n2</w:t>
            </w:r>
            <w:r>
              <w:t>61</w:t>
            </w:r>
            <w:r w:rsidRPr="00DD5F47">
              <w:t>A</w:t>
            </w:r>
          </w:p>
        </w:tc>
        <w:tc>
          <w:tcPr>
            <w:tcW w:w="1583" w:type="dxa"/>
          </w:tcPr>
          <w:p w14:paraId="6DE08368" w14:textId="77777777" w:rsidR="006F76A2" w:rsidRDefault="006F76A2" w:rsidP="0057566C">
            <w:r w:rsidRPr="00DD5F47">
              <w:t>DC_71A_n257A</w:t>
            </w:r>
          </w:p>
        </w:tc>
      </w:tr>
      <w:tr w:rsidR="006F76A2" w14:paraId="4D45EC0F" w14:textId="77777777" w:rsidTr="0057566C">
        <w:tc>
          <w:tcPr>
            <w:tcW w:w="1673" w:type="dxa"/>
          </w:tcPr>
          <w:p w14:paraId="723B3920" w14:textId="77777777" w:rsidR="006F76A2" w:rsidRPr="00DD5F47" w:rsidRDefault="006F76A2" w:rsidP="0057566C">
            <w:r w:rsidRPr="00411499">
              <w:t>DC_71A_n258A</w:t>
            </w:r>
          </w:p>
        </w:tc>
        <w:tc>
          <w:tcPr>
            <w:tcW w:w="1583" w:type="dxa"/>
          </w:tcPr>
          <w:p w14:paraId="650B6447" w14:textId="77777777" w:rsidR="006F76A2" w:rsidRPr="00DD5F47" w:rsidRDefault="006F76A2" w:rsidP="0057566C">
            <w:r w:rsidRPr="00411499">
              <w:t>DC_71A_n260A</w:t>
            </w:r>
          </w:p>
        </w:tc>
        <w:tc>
          <w:tcPr>
            <w:tcW w:w="1583" w:type="dxa"/>
          </w:tcPr>
          <w:p w14:paraId="0112E81D" w14:textId="77777777" w:rsidR="006F76A2" w:rsidRPr="00DD5F47" w:rsidRDefault="006F76A2" w:rsidP="0057566C">
            <w:r w:rsidRPr="00411499">
              <w:t>DC_71A_n26</w:t>
            </w:r>
            <w:r>
              <w:t>1</w:t>
            </w:r>
            <w:r w:rsidRPr="00411499">
              <w:t>A</w:t>
            </w:r>
          </w:p>
        </w:tc>
        <w:tc>
          <w:tcPr>
            <w:tcW w:w="1583" w:type="dxa"/>
          </w:tcPr>
          <w:p w14:paraId="4D5F5EBA" w14:textId="77777777" w:rsidR="006F76A2" w:rsidRPr="00DD5F47" w:rsidRDefault="006F76A2" w:rsidP="0057566C">
            <w:r w:rsidRPr="00411499">
              <w:t>DC_5A_n25</w:t>
            </w:r>
            <w:r>
              <w:t>7</w:t>
            </w:r>
            <w:r w:rsidRPr="00411499">
              <w:t>A</w:t>
            </w:r>
          </w:p>
        </w:tc>
        <w:tc>
          <w:tcPr>
            <w:tcW w:w="1583" w:type="dxa"/>
          </w:tcPr>
          <w:p w14:paraId="5EC1D645" w14:textId="77777777" w:rsidR="006F76A2" w:rsidRPr="00DD5F47" w:rsidRDefault="006F76A2" w:rsidP="0057566C">
            <w:r w:rsidRPr="00411499">
              <w:t>DC_5A_n258A</w:t>
            </w:r>
          </w:p>
        </w:tc>
      </w:tr>
      <w:tr w:rsidR="006F76A2" w14:paraId="43375708" w14:textId="77777777" w:rsidTr="0057566C">
        <w:tc>
          <w:tcPr>
            <w:tcW w:w="1673" w:type="dxa"/>
          </w:tcPr>
          <w:p w14:paraId="0E7DD0DF" w14:textId="77777777" w:rsidR="006F76A2" w:rsidRDefault="006F76A2" w:rsidP="0057566C">
            <w:r w:rsidRPr="00DD5F47">
              <w:t>DC_</w:t>
            </w:r>
            <w:r>
              <w:t>5</w:t>
            </w:r>
            <w:r w:rsidRPr="00DD5F47">
              <w:t>A_n2</w:t>
            </w:r>
            <w:r>
              <w:t>60</w:t>
            </w:r>
            <w:r w:rsidRPr="00DD5F47">
              <w:t>A</w:t>
            </w:r>
          </w:p>
        </w:tc>
        <w:tc>
          <w:tcPr>
            <w:tcW w:w="1583" w:type="dxa"/>
          </w:tcPr>
          <w:p w14:paraId="0BC2B130" w14:textId="77777777" w:rsidR="006F76A2" w:rsidRDefault="006F76A2" w:rsidP="0057566C">
            <w:r w:rsidRPr="00411499">
              <w:t>DC_5A_n2</w:t>
            </w:r>
            <w:r>
              <w:t>61</w:t>
            </w:r>
            <w:r w:rsidRPr="00411499">
              <w:t>A</w:t>
            </w:r>
          </w:p>
        </w:tc>
        <w:tc>
          <w:tcPr>
            <w:tcW w:w="1583" w:type="dxa"/>
          </w:tcPr>
          <w:p w14:paraId="47143E6D" w14:textId="77777777" w:rsidR="006F76A2" w:rsidRDefault="006F76A2" w:rsidP="0057566C">
            <w:r w:rsidRPr="00DD5F47">
              <w:t>DC_</w:t>
            </w:r>
            <w:r>
              <w:t>2</w:t>
            </w:r>
            <w:r w:rsidRPr="00DD5F47">
              <w:t>A_n25</w:t>
            </w:r>
            <w:r>
              <w:t>7</w:t>
            </w:r>
            <w:r w:rsidRPr="00DD5F47">
              <w:t>A</w:t>
            </w:r>
          </w:p>
        </w:tc>
        <w:tc>
          <w:tcPr>
            <w:tcW w:w="1583" w:type="dxa"/>
          </w:tcPr>
          <w:p w14:paraId="6EABBA14" w14:textId="77777777" w:rsidR="006F76A2" w:rsidRPr="00DD5F47" w:rsidRDefault="006F76A2" w:rsidP="0057566C">
            <w:r w:rsidRPr="00411499">
              <w:t>DC_2A_n258A</w:t>
            </w:r>
          </w:p>
        </w:tc>
        <w:tc>
          <w:tcPr>
            <w:tcW w:w="1583" w:type="dxa"/>
          </w:tcPr>
          <w:p w14:paraId="4D0E9357" w14:textId="77777777" w:rsidR="006F76A2" w:rsidRDefault="006F76A2" w:rsidP="0057566C">
            <w:r w:rsidRPr="00DD5F47">
              <w:t>DC_2A_n2</w:t>
            </w:r>
            <w:r>
              <w:t>60</w:t>
            </w:r>
            <w:r w:rsidRPr="00DD5F47">
              <w:t>A</w:t>
            </w:r>
          </w:p>
        </w:tc>
      </w:tr>
      <w:tr w:rsidR="006F76A2" w14:paraId="738E0753" w14:textId="77777777" w:rsidTr="0057566C">
        <w:tc>
          <w:tcPr>
            <w:tcW w:w="1673" w:type="dxa"/>
          </w:tcPr>
          <w:p w14:paraId="3D12B35C" w14:textId="77777777" w:rsidR="006F76A2" w:rsidRPr="00DD5F47" w:rsidRDefault="006F76A2" w:rsidP="0057566C">
            <w:r w:rsidRPr="00411499">
              <w:t>DC_2A_n26</w:t>
            </w:r>
            <w:r>
              <w:t>1</w:t>
            </w:r>
            <w:r w:rsidRPr="00411499">
              <w:t>A</w:t>
            </w:r>
          </w:p>
        </w:tc>
        <w:tc>
          <w:tcPr>
            <w:tcW w:w="1583" w:type="dxa"/>
          </w:tcPr>
          <w:p w14:paraId="1177A804" w14:textId="77777777" w:rsidR="006F76A2" w:rsidRPr="00411499" w:rsidRDefault="006F76A2" w:rsidP="0057566C">
            <w:r w:rsidRPr="00411499">
              <w:t>DC_66A_n25</w:t>
            </w:r>
            <w:r>
              <w:t>7</w:t>
            </w:r>
            <w:r w:rsidRPr="00411499">
              <w:t>A</w:t>
            </w:r>
          </w:p>
        </w:tc>
        <w:tc>
          <w:tcPr>
            <w:tcW w:w="1583" w:type="dxa"/>
          </w:tcPr>
          <w:p w14:paraId="367561E4" w14:textId="77777777" w:rsidR="006F76A2" w:rsidRPr="00DD5F47" w:rsidRDefault="006F76A2" w:rsidP="0057566C">
            <w:r w:rsidRPr="00411499">
              <w:t>DC_66A_n25</w:t>
            </w:r>
            <w:r>
              <w:t>8</w:t>
            </w:r>
            <w:r w:rsidRPr="00411499">
              <w:t>A</w:t>
            </w:r>
          </w:p>
        </w:tc>
        <w:tc>
          <w:tcPr>
            <w:tcW w:w="1583" w:type="dxa"/>
          </w:tcPr>
          <w:p w14:paraId="503949C2" w14:textId="77777777" w:rsidR="006F76A2" w:rsidRPr="00411499" w:rsidRDefault="006F76A2" w:rsidP="0057566C">
            <w:r w:rsidRPr="00411499">
              <w:t>DC_66A_n2</w:t>
            </w:r>
            <w:r>
              <w:t>60</w:t>
            </w:r>
            <w:r w:rsidRPr="00411499">
              <w:t>A</w:t>
            </w:r>
          </w:p>
        </w:tc>
        <w:tc>
          <w:tcPr>
            <w:tcW w:w="1583" w:type="dxa"/>
          </w:tcPr>
          <w:p w14:paraId="40CF80D3" w14:textId="77777777" w:rsidR="006F76A2" w:rsidRPr="00DD5F47" w:rsidRDefault="006F76A2" w:rsidP="0057566C">
            <w:r w:rsidRPr="00411499">
              <w:t>DC_66A_n2</w:t>
            </w:r>
            <w:r>
              <w:t>61</w:t>
            </w:r>
            <w:r w:rsidRPr="00411499">
              <w:t>A</w:t>
            </w:r>
          </w:p>
        </w:tc>
      </w:tr>
    </w:tbl>
    <w:p w14:paraId="2ABBF1D7" w14:textId="77777777" w:rsidR="006F76A2" w:rsidRDefault="006F76A2" w:rsidP="006F76A2"/>
    <w:p w14:paraId="5638F540" w14:textId="13FB59F3" w:rsidR="00150F7F" w:rsidRPr="006F76A2" w:rsidRDefault="006F76A2" w:rsidP="006F76A2">
      <w:r>
        <w:t>The RF minimum performance specifications for these EN-DC scenarios (1LTE+1NR band), is a work-in-progress for the Release-16 timeframe</w:t>
      </w:r>
    </w:p>
    <w:sectPr w:rsidR="00150F7F" w:rsidRPr="006F76A2"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1D54DF" w14:textId="77777777" w:rsidR="00226B87" w:rsidRDefault="00226B87" w:rsidP="00001C9B">
      <w:pPr>
        <w:spacing w:after="0" w:line="240" w:lineRule="auto"/>
      </w:pPr>
      <w:r>
        <w:separator/>
      </w:r>
    </w:p>
  </w:endnote>
  <w:endnote w:type="continuationSeparator" w:id="0">
    <w:p w14:paraId="4C5C8736" w14:textId="77777777" w:rsidR="00226B87" w:rsidRDefault="00226B87" w:rsidP="00001C9B">
      <w:pPr>
        <w:spacing w:after="0" w:line="240" w:lineRule="auto"/>
      </w:pPr>
      <w:r>
        <w:continuationSeparator/>
      </w:r>
    </w:p>
  </w:endnote>
  <w:endnote w:id="1">
    <w:p w14:paraId="46F58E35" w14:textId="77777777" w:rsidR="006F76A2" w:rsidRDefault="006F76A2" w:rsidP="006F76A2">
      <w:pPr>
        <w:pStyle w:val="EndnoteText"/>
      </w:pPr>
      <w:r>
        <w:rPr>
          <w:rStyle w:val="EndnoteReference"/>
        </w:rPr>
        <w:endnoteRef/>
      </w:r>
      <w:r>
        <w:t xml:space="preserve"> This band is for further examination for suitability in ITU Region 2</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220979" w14:textId="77777777" w:rsidR="00226B87" w:rsidRDefault="00226B87" w:rsidP="00001C9B">
      <w:pPr>
        <w:spacing w:after="0" w:line="240" w:lineRule="auto"/>
      </w:pPr>
      <w:r>
        <w:separator/>
      </w:r>
    </w:p>
  </w:footnote>
  <w:footnote w:type="continuationSeparator" w:id="0">
    <w:p w14:paraId="6173C82E" w14:textId="77777777" w:rsidR="00226B87" w:rsidRDefault="00226B87"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D064AA6"/>
    <w:multiLevelType w:val="hybridMultilevel"/>
    <w:tmpl w:val="EB5A7466"/>
    <w:lvl w:ilvl="0" w:tplc="37F062C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396000"/>
    <w:multiLevelType w:val="hybridMultilevel"/>
    <w:tmpl w:val="70BC5716"/>
    <w:lvl w:ilvl="0" w:tplc="72F24C04">
      <w:start w:val="1"/>
      <w:numFmt w:val="bullet"/>
      <w:lvlText w:val=""/>
      <w:lvlJc w:val="left"/>
      <w:pPr>
        <w:tabs>
          <w:tab w:val="num" w:pos="720"/>
        </w:tabs>
        <w:ind w:left="720" w:hanging="360"/>
      </w:pPr>
      <w:rPr>
        <w:rFonts w:ascii="Wingdings" w:hAnsi="Wingdings" w:hint="default"/>
      </w:rPr>
    </w:lvl>
    <w:lvl w:ilvl="1" w:tplc="BCEC62D8" w:tentative="1">
      <w:start w:val="1"/>
      <w:numFmt w:val="bullet"/>
      <w:lvlText w:val=""/>
      <w:lvlJc w:val="left"/>
      <w:pPr>
        <w:tabs>
          <w:tab w:val="num" w:pos="1440"/>
        </w:tabs>
        <w:ind w:left="1440" w:hanging="360"/>
      </w:pPr>
      <w:rPr>
        <w:rFonts w:ascii="Wingdings" w:hAnsi="Wingdings" w:hint="default"/>
      </w:rPr>
    </w:lvl>
    <w:lvl w:ilvl="2" w:tplc="757EDFFA" w:tentative="1">
      <w:start w:val="1"/>
      <w:numFmt w:val="bullet"/>
      <w:lvlText w:val=""/>
      <w:lvlJc w:val="left"/>
      <w:pPr>
        <w:tabs>
          <w:tab w:val="num" w:pos="2160"/>
        </w:tabs>
        <w:ind w:left="2160" w:hanging="360"/>
      </w:pPr>
      <w:rPr>
        <w:rFonts w:ascii="Wingdings" w:hAnsi="Wingdings" w:hint="default"/>
      </w:rPr>
    </w:lvl>
    <w:lvl w:ilvl="3" w:tplc="30A45160" w:tentative="1">
      <w:start w:val="1"/>
      <w:numFmt w:val="bullet"/>
      <w:lvlText w:val=""/>
      <w:lvlJc w:val="left"/>
      <w:pPr>
        <w:tabs>
          <w:tab w:val="num" w:pos="2880"/>
        </w:tabs>
        <w:ind w:left="2880" w:hanging="360"/>
      </w:pPr>
      <w:rPr>
        <w:rFonts w:ascii="Wingdings" w:hAnsi="Wingdings" w:hint="default"/>
      </w:rPr>
    </w:lvl>
    <w:lvl w:ilvl="4" w:tplc="32904DDE" w:tentative="1">
      <w:start w:val="1"/>
      <w:numFmt w:val="bullet"/>
      <w:lvlText w:val=""/>
      <w:lvlJc w:val="left"/>
      <w:pPr>
        <w:tabs>
          <w:tab w:val="num" w:pos="3600"/>
        </w:tabs>
        <w:ind w:left="3600" w:hanging="360"/>
      </w:pPr>
      <w:rPr>
        <w:rFonts w:ascii="Wingdings" w:hAnsi="Wingdings" w:hint="default"/>
      </w:rPr>
    </w:lvl>
    <w:lvl w:ilvl="5" w:tplc="97D2F52C" w:tentative="1">
      <w:start w:val="1"/>
      <w:numFmt w:val="bullet"/>
      <w:lvlText w:val=""/>
      <w:lvlJc w:val="left"/>
      <w:pPr>
        <w:tabs>
          <w:tab w:val="num" w:pos="4320"/>
        </w:tabs>
        <w:ind w:left="4320" w:hanging="360"/>
      </w:pPr>
      <w:rPr>
        <w:rFonts w:ascii="Wingdings" w:hAnsi="Wingdings" w:hint="default"/>
      </w:rPr>
    </w:lvl>
    <w:lvl w:ilvl="6" w:tplc="26C254A8" w:tentative="1">
      <w:start w:val="1"/>
      <w:numFmt w:val="bullet"/>
      <w:lvlText w:val=""/>
      <w:lvlJc w:val="left"/>
      <w:pPr>
        <w:tabs>
          <w:tab w:val="num" w:pos="5040"/>
        </w:tabs>
        <w:ind w:left="5040" w:hanging="360"/>
      </w:pPr>
      <w:rPr>
        <w:rFonts w:ascii="Wingdings" w:hAnsi="Wingdings" w:hint="default"/>
      </w:rPr>
    </w:lvl>
    <w:lvl w:ilvl="7" w:tplc="1E8EB8A0" w:tentative="1">
      <w:start w:val="1"/>
      <w:numFmt w:val="bullet"/>
      <w:lvlText w:val=""/>
      <w:lvlJc w:val="left"/>
      <w:pPr>
        <w:tabs>
          <w:tab w:val="num" w:pos="5760"/>
        </w:tabs>
        <w:ind w:left="5760" w:hanging="360"/>
      </w:pPr>
      <w:rPr>
        <w:rFonts w:ascii="Wingdings" w:hAnsi="Wingdings" w:hint="default"/>
      </w:rPr>
    </w:lvl>
    <w:lvl w:ilvl="8" w:tplc="8438DF2E"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5E361AF"/>
    <w:multiLevelType w:val="hybridMultilevel"/>
    <w:tmpl w:val="03D2F32C"/>
    <w:lvl w:ilvl="0" w:tplc="79F2C630">
      <w:start w:val="1"/>
      <w:numFmt w:val="decimal"/>
      <w:pStyle w:val="bullet-1"/>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5"/>
  </w:num>
  <w:num w:numId="3">
    <w:abstractNumId w:val="10"/>
  </w:num>
  <w:num w:numId="4">
    <w:abstractNumId w:val="3"/>
  </w:num>
  <w:num w:numId="5">
    <w:abstractNumId w:val="12"/>
  </w:num>
  <w:num w:numId="6">
    <w:abstractNumId w:val="8"/>
  </w:num>
  <w:num w:numId="7">
    <w:abstractNumId w:val="9"/>
  </w:num>
  <w:num w:numId="8">
    <w:abstractNumId w:val="9"/>
    <w:lvlOverride w:ilvl="0">
      <w:startOverride w:val="1"/>
    </w:lvlOverride>
  </w:num>
  <w:num w:numId="9">
    <w:abstractNumId w:val="9"/>
    <w:lvlOverride w:ilvl="0">
      <w:startOverride w:val="1"/>
    </w:lvlOverride>
  </w:num>
  <w:num w:numId="10">
    <w:abstractNumId w:val="9"/>
    <w:lvlOverride w:ilvl="0">
      <w:startOverride w:val="1"/>
    </w:lvlOverride>
  </w:num>
  <w:num w:numId="11">
    <w:abstractNumId w:val="8"/>
    <w:lvlOverride w:ilvl="0">
      <w:startOverride w:val="1"/>
    </w:lvlOverride>
  </w:num>
  <w:num w:numId="12">
    <w:abstractNumId w:val="9"/>
    <w:lvlOverride w:ilvl="0">
      <w:startOverride w:val="1"/>
    </w:lvlOverride>
  </w:num>
  <w:num w:numId="13">
    <w:abstractNumId w:val="8"/>
    <w:lvlOverride w:ilvl="0">
      <w:startOverride w:val="1"/>
    </w:lvlOverride>
  </w:num>
  <w:num w:numId="14">
    <w:abstractNumId w:val="9"/>
    <w:lvlOverride w:ilvl="0">
      <w:startOverride w:val="1"/>
    </w:lvlOverride>
  </w:num>
  <w:num w:numId="15">
    <w:abstractNumId w:val="13"/>
  </w:num>
  <w:num w:numId="16">
    <w:abstractNumId w:val="2"/>
  </w:num>
  <w:num w:numId="17">
    <w:abstractNumId w:val="11"/>
  </w:num>
  <w:num w:numId="18">
    <w:abstractNumId w:val="11"/>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1"/>
  </w:num>
  <w:num w:numId="22">
    <w:abstractNumId w:val="4"/>
  </w:num>
  <w:num w:numId="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15BD5"/>
    <w:rsid w:val="00044426"/>
    <w:rsid w:val="00065321"/>
    <w:rsid w:val="0008612A"/>
    <w:rsid w:val="000A11DA"/>
    <w:rsid w:val="000B0056"/>
    <w:rsid w:val="00106E7D"/>
    <w:rsid w:val="00150F7F"/>
    <w:rsid w:val="001729EA"/>
    <w:rsid w:val="001745F8"/>
    <w:rsid w:val="001838CF"/>
    <w:rsid w:val="001A0211"/>
    <w:rsid w:val="001A3BA4"/>
    <w:rsid w:val="001B117D"/>
    <w:rsid w:val="001D1363"/>
    <w:rsid w:val="001E30F6"/>
    <w:rsid w:val="001E44B6"/>
    <w:rsid w:val="00212F25"/>
    <w:rsid w:val="00226B87"/>
    <w:rsid w:val="00235F5C"/>
    <w:rsid w:val="00253666"/>
    <w:rsid w:val="002828A6"/>
    <w:rsid w:val="002A6F3D"/>
    <w:rsid w:val="002B4922"/>
    <w:rsid w:val="002C2D19"/>
    <w:rsid w:val="002D10FA"/>
    <w:rsid w:val="002D324F"/>
    <w:rsid w:val="002D4C55"/>
    <w:rsid w:val="00356CA3"/>
    <w:rsid w:val="003B659E"/>
    <w:rsid w:val="003E601E"/>
    <w:rsid w:val="004173F1"/>
    <w:rsid w:val="00417770"/>
    <w:rsid w:val="00425732"/>
    <w:rsid w:val="0043750A"/>
    <w:rsid w:val="0048273E"/>
    <w:rsid w:val="004C77AE"/>
    <w:rsid w:val="004E5E66"/>
    <w:rsid w:val="00503B4D"/>
    <w:rsid w:val="00504EE9"/>
    <w:rsid w:val="005108FD"/>
    <w:rsid w:val="005236DD"/>
    <w:rsid w:val="0054442C"/>
    <w:rsid w:val="00550285"/>
    <w:rsid w:val="00563657"/>
    <w:rsid w:val="005836F8"/>
    <w:rsid w:val="005918FA"/>
    <w:rsid w:val="005C23A4"/>
    <w:rsid w:val="005D1CDF"/>
    <w:rsid w:val="005E61A8"/>
    <w:rsid w:val="005F6419"/>
    <w:rsid w:val="00617400"/>
    <w:rsid w:val="00664950"/>
    <w:rsid w:val="00683220"/>
    <w:rsid w:val="00687FA0"/>
    <w:rsid w:val="006A738C"/>
    <w:rsid w:val="006B7010"/>
    <w:rsid w:val="006B7D18"/>
    <w:rsid w:val="006E4077"/>
    <w:rsid w:val="006F5E1C"/>
    <w:rsid w:val="006F76A2"/>
    <w:rsid w:val="007145FF"/>
    <w:rsid w:val="007339DA"/>
    <w:rsid w:val="00751515"/>
    <w:rsid w:val="007665F9"/>
    <w:rsid w:val="00785232"/>
    <w:rsid w:val="007940A8"/>
    <w:rsid w:val="007A6E80"/>
    <w:rsid w:val="007C3ED0"/>
    <w:rsid w:val="007E4C98"/>
    <w:rsid w:val="007F1AE2"/>
    <w:rsid w:val="00806A76"/>
    <w:rsid w:val="00811C9D"/>
    <w:rsid w:val="00816C80"/>
    <w:rsid w:val="00841BCD"/>
    <w:rsid w:val="00851A8E"/>
    <w:rsid w:val="00852116"/>
    <w:rsid w:val="008826C1"/>
    <w:rsid w:val="008A4E6A"/>
    <w:rsid w:val="008F13BB"/>
    <w:rsid w:val="0090091A"/>
    <w:rsid w:val="0090422B"/>
    <w:rsid w:val="009042BD"/>
    <w:rsid w:val="0097378B"/>
    <w:rsid w:val="00977E1D"/>
    <w:rsid w:val="009F3EEE"/>
    <w:rsid w:val="00A22B78"/>
    <w:rsid w:val="00A25AE5"/>
    <w:rsid w:val="00A37002"/>
    <w:rsid w:val="00AA1B0E"/>
    <w:rsid w:val="00AC5CA7"/>
    <w:rsid w:val="00AE56B1"/>
    <w:rsid w:val="00B36A09"/>
    <w:rsid w:val="00B50858"/>
    <w:rsid w:val="00B7314C"/>
    <w:rsid w:val="00B73862"/>
    <w:rsid w:val="00BA6E48"/>
    <w:rsid w:val="00BF2218"/>
    <w:rsid w:val="00BF5EB6"/>
    <w:rsid w:val="00C00C32"/>
    <w:rsid w:val="00C72CB5"/>
    <w:rsid w:val="00C7461F"/>
    <w:rsid w:val="00CD7492"/>
    <w:rsid w:val="00CE3A6B"/>
    <w:rsid w:val="00D00211"/>
    <w:rsid w:val="00D06309"/>
    <w:rsid w:val="00D351EA"/>
    <w:rsid w:val="00D43403"/>
    <w:rsid w:val="00D51D7C"/>
    <w:rsid w:val="00D62E71"/>
    <w:rsid w:val="00D72357"/>
    <w:rsid w:val="00D740CA"/>
    <w:rsid w:val="00D85728"/>
    <w:rsid w:val="00D97DC8"/>
    <w:rsid w:val="00DE0E27"/>
    <w:rsid w:val="00DF0293"/>
    <w:rsid w:val="00DF2997"/>
    <w:rsid w:val="00E30C0C"/>
    <w:rsid w:val="00EA191F"/>
    <w:rsid w:val="00EB21D9"/>
    <w:rsid w:val="00EC7BC3"/>
    <w:rsid w:val="00ED7600"/>
    <w:rsid w:val="00EE382F"/>
    <w:rsid w:val="00F1362C"/>
    <w:rsid w:val="00F8175B"/>
    <w:rsid w:val="00F824F5"/>
    <w:rsid w:val="00FA7F2D"/>
    <w:rsid w:val="00FC29B9"/>
    <w:rsid w:val="00FC6FD3"/>
    <w:rsid w:val="00FE173E"/>
    <w:rsid w:val="00FF0301"/>
    <w:rsid w:val="00FF7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719737"/>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NormalWeb">
    <w:name w:val="Normal (Web)"/>
    <w:basedOn w:val="Normal"/>
    <w:uiPriority w:val="99"/>
    <w:semiHidden/>
    <w:unhideWhenUsed/>
    <w:rsid w:val="00E30C0C"/>
    <w:pPr>
      <w:spacing w:before="100" w:beforeAutospacing="1" w:after="100" w:afterAutospacing="1" w:line="240" w:lineRule="auto"/>
    </w:pPr>
    <w:rPr>
      <w:rFonts w:eastAsia="Times New Roman" w:cs="Times New Roman"/>
      <w:sz w:val="24"/>
      <w:szCs w:val="24"/>
      <w:lang w:val="en-GB" w:eastAsia="en-GB"/>
    </w:rPr>
  </w:style>
  <w:style w:type="table" w:styleId="PlainTable3">
    <w:name w:val="Plain Table 3"/>
    <w:basedOn w:val="TableNormal"/>
    <w:uiPriority w:val="43"/>
    <w:rsid w:val="00E30C0C"/>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NoSpacing">
    <w:name w:val="No Spacing"/>
    <w:uiPriority w:val="1"/>
    <w:qFormat/>
    <w:rsid w:val="001B117D"/>
    <w:pPr>
      <w:spacing w:after="0" w:line="240" w:lineRule="auto"/>
    </w:pPr>
    <w:rPr>
      <w:rFonts w:ascii="Times New Roman" w:hAnsi="Times New Roman"/>
      <w:sz w:val="20"/>
    </w:rPr>
  </w:style>
  <w:style w:type="paragraph" w:customStyle="1" w:styleId="bullet-1">
    <w:name w:val="bullet-1"/>
    <w:basedOn w:val="Normal"/>
    <w:link w:val="bullet-1Char"/>
    <w:qFormat/>
    <w:rsid w:val="006F76A2"/>
    <w:pPr>
      <w:numPr>
        <w:numId w:val="23"/>
      </w:numPr>
    </w:pPr>
    <w:rPr>
      <w:rFonts w:cs="Times New Roman"/>
      <w:szCs w:val="20"/>
    </w:rPr>
  </w:style>
  <w:style w:type="character" w:customStyle="1" w:styleId="bullet-1Char">
    <w:name w:val="bullet-1 Char"/>
    <w:basedOn w:val="DefaultParagraphFont"/>
    <w:link w:val="bullet-1"/>
    <w:rsid w:val="006F76A2"/>
    <w:rPr>
      <w:rFonts w:ascii="Times New Roman" w:hAnsi="Times New Roman" w:cs="Times New Roman"/>
      <w:sz w:val="20"/>
      <w:szCs w:val="20"/>
    </w:rPr>
  </w:style>
  <w:style w:type="paragraph" w:styleId="EndnoteText">
    <w:name w:val="endnote text"/>
    <w:basedOn w:val="Normal"/>
    <w:link w:val="EndnoteTextChar"/>
    <w:uiPriority w:val="99"/>
    <w:semiHidden/>
    <w:unhideWhenUsed/>
    <w:rsid w:val="006F76A2"/>
    <w:pPr>
      <w:spacing w:after="0" w:line="240" w:lineRule="auto"/>
    </w:pPr>
    <w:rPr>
      <w:rFonts w:cs="Times New Roman"/>
      <w:szCs w:val="20"/>
    </w:rPr>
  </w:style>
  <w:style w:type="character" w:customStyle="1" w:styleId="EndnoteTextChar">
    <w:name w:val="Endnote Text Char"/>
    <w:basedOn w:val="DefaultParagraphFont"/>
    <w:link w:val="EndnoteText"/>
    <w:uiPriority w:val="99"/>
    <w:semiHidden/>
    <w:rsid w:val="006F76A2"/>
    <w:rPr>
      <w:rFonts w:ascii="Times New Roman" w:hAnsi="Times New Roman" w:cs="Times New Roman"/>
      <w:sz w:val="20"/>
      <w:szCs w:val="20"/>
    </w:rPr>
  </w:style>
  <w:style w:type="character" w:styleId="EndnoteReference">
    <w:name w:val="endnote reference"/>
    <w:basedOn w:val="DefaultParagraphFont"/>
    <w:uiPriority w:val="99"/>
    <w:semiHidden/>
    <w:unhideWhenUsed/>
    <w:rsid w:val="006F76A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3957">
      <w:bodyDiv w:val="1"/>
      <w:marLeft w:val="0"/>
      <w:marRight w:val="0"/>
      <w:marTop w:val="0"/>
      <w:marBottom w:val="0"/>
      <w:divBdr>
        <w:top w:val="none" w:sz="0" w:space="0" w:color="auto"/>
        <w:left w:val="none" w:sz="0" w:space="0" w:color="auto"/>
        <w:bottom w:val="none" w:sz="0" w:space="0" w:color="auto"/>
        <w:right w:val="none" w:sz="0" w:space="0" w:color="auto"/>
      </w:divBdr>
    </w:div>
    <w:div w:id="92865786">
      <w:bodyDiv w:val="1"/>
      <w:marLeft w:val="0"/>
      <w:marRight w:val="0"/>
      <w:marTop w:val="0"/>
      <w:marBottom w:val="0"/>
      <w:divBdr>
        <w:top w:val="none" w:sz="0" w:space="0" w:color="auto"/>
        <w:left w:val="none" w:sz="0" w:space="0" w:color="auto"/>
        <w:bottom w:val="none" w:sz="0" w:space="0" w:color="auto"/>
        <w:right w:val="none" w:sz="0" w:space="0" w:color="auto"/>
      </w:divBdr>
    </w:div>
    <w:div w:id="151214908">
      <w:bodyDiv w:val="1"/>
      <w:marLeft w:val="0"/>
      <w:marRight w:val="0"/>
      <w:marTop w:val="0"/>
      <w:marBottom w:val="0"/>
      <w:divBdr>
        <w:top w:val="none" w:sz="0" w:space="0" w:color="auto"/>
        <w:left w:val="none" w:sz="0" w:space="0" w:color="auto"/>
        <w:bottom w:val="none" w:sz="0" w:space="0" w:color="auto"/>
        <w:right w:val="none" w:sz="0" w:space="0" w:color="auto"/>
      </w:divBdr>
    </w:div>
    <w:div w:id="250896051">
      <w:bodyDiv w:val="1"/>
      <w:marLeft w:val="0"/>
      <w:marRight w:val="0"/>
      <w:marTop w:val="0"/>
      <w:marBottom w:val="0"/>
      <w:divBdr>
        <w:top w:val="none" w:sz="0" w:space="0" w:color="auto"/>
        <w:left w:val="none" w:sz="0" w:space="0" w:color="auto"/>
        <w:bottom w:val="none" w:sz="0" w:space="0" w:color="auto"/>
        <w:right w:val="none" w:sz="0" w:space="0" w:color="auto"/>
      </w:divBdr>
    </w:div>
    <w:div w:id="275528468">
      <w:bodyDiv w:val="1"/>
      <w:marLeft w:val="0"/>
      <w:marRight w:val="0"/>
      <w:marTop w:val="0"/>
      <w:marBottom w:val="0"/>
      <w:divBdr>
        <w:top w:val="none" w:sz="0" w:space="0" w:color="auto"/>
        <w:left w:val="none" w:sz="0" w:space="0" w:color="auto"/>
        <w:bottom w:val="none" w:sz="0" w:space="0" w:color="auto"/>
        <w:right w:val="none" w:sz="0" w:space="0" w:color="auto"/>
      </w:divBdr>
    </w:div>
    <w:div w:id="314719631">
      <w:bodyDiv w:val="1"/>
      <w:marLeft w:val="0"/>
      <w:marRight w:val="0"/>
      <w:marTop w:val="0"/>
      <w:marBottom w:val="0"/>
      <w:divBdr>
        <w:top w:val="none" w:sz="0" w:space="0" w:color="auto"/>
        <w:left w:val="none" w:sz="0" w:space="0" w:color="auto"/>
        <w:bottom w:val="none" w:sz="0" w:space="0" w:color="auto"/>
        <w:right w:val="none" w:sz="0" w:space="0" w:color="auto"/>
      </w:divBdr>
    </w:div>
    <w:div w:id="318002681">
      <w:bodyDiv w:val="1"/>
      <w:marLeft w:val="0"/>
      <w:marRight w:val="0"/>
      <w:marTop w:val="0"/>
      <w:marBottom w:val="0"/>
      <w:divBdr>
        <w:top w:val="none" w:sz="0" w:space="0" w:color="auto"/>
        <w:left w:val="none" w:sz="0" w:space="0" w:color="auto"/>
        <w:bottom w:val="none" w:sz="0" w:space="0" w:color="auto"/>
        <w:right w:val="none" w:sz="0" w:space="0" w:color="auto"/>
      </w:divBdr>
    </w:div>
    <w:div w:id="334965375">
      <w:bodyDiv w:val="1"/>
      <w:marLeft w:val="0"/>
      <w:marRight w:val="0"/>
      <w:marTop w:val="0"/>
      <w:marBottom w:val="0"/>
      <w:divBdr>
        <w:top w:val="none" w:sz="0" w:space="0" w:color="auto"/>
        <w:left w:val="none" w:sz="0" w:space="0" w:color="auto"/>
        <w:bottom w:val="none" w:sz="0" w:space="0" w:color="auto"/>
        <w:right w:val="none" w:sz="0" w:space="0" w:color="auto"/>
      </w:divBdr>
    </w:div>
    <w:div w:id="374623159">
      <w:bodyDiv w:val="1"/>
      <w:marLeft w:val="0"/>
      <w:marRight w:val="0"/>
      <w:marTop w:val="0"/>
      <w:marBottom w:val="0"/>
      <w:divBdr>
        <w:top w:val="none" w:sz="0" w:space="0" w:color="auto"/>
        <w:left w:val="none" w:sz="0" w:space="0" w:color="auto"/>
        <w:bottom w:val="none" w:sz="0" w:space="0" w:color="auto"/>
        <w:right w:val="none" w:sz="0" w:space="0" w:color="auto"/>
      </w:divBdr>
    </w:div>
    <w:div w:id="398408691">
      <w:bodyDiv w:val="1"/>
      <w:marLeft w:val="0"/>
      <w:marRight w:val="0"/>
      <w:marTop w:val="0"/>
      <w:marBottom w:val="0"/>
      <w:divBdr>
        <w:top w:val="none" w:sz="0" w:space="0" w:color="auto"/>
        <w:left w:val="none" w:sz="0" w:space="0" w:color="auto"/>
        <w:bottom w:val="none" w:sz="0" w:space="0" w:color="auto"/>
        <w:right w:val="none" w:sz="0" w:space="0" w:color="auto"/>
      </w:divBdr>
    </w:div>
    <w:div w:id="506676895">
      <w:bodyDiv w:val="1"/>
      <w:marLeft w:val="0"/>
      <w:marRight w:val="0"/>
      <w:marTop w:val="0"/>
      <w:marBottom w:val="0"/>
      <w:divBdr>
        <w:top w:val="none" w:sz="0" w:space="0" w:color="auto"/>
        <w:left w:val="none" w:sz="0" w:space="0" w:color="auto"/>
        <w:bottom w:val="none" w:sz="0" w:space="0" w:color="auto"/>
        <w:right w:val="none" w:sz="0" w:space="0" w:color="auto"/>
      </w:divBdr>
    </w:div>
    <w:div w:id="564878579">
      <w:bodyDiv w:val="1"/>
      <w:marLeft w:val="0"/>
      <w:marRight w:val="0"/>
      <w:marTop w:val="0"/>
      <w:marBottom w:val="0"/>
      <w:divBdr>
        <w:top w:val="none" w:sz="0" w:space="0" w:color="auto"/>
        <w:left w:val="none" w:sz="0" w:space="0" w:color="auto"/>
        <w:bottom w:val="none" w:sz="0" w:space="0" w:color="auto"/>
        <w:right w:val="none" w:sz="0" w:space="0" w:color="auto"/>
      </w:divBdr>
    </w:div>
    <w:div w:id="618413615">
      <w:bodyDiv w:val="1"/>
      <w:marLeft w:val="0"/>
      <w:marRight w:val="0"/>
      <w:marTop w:val="0"/>
      <w:marBottom w:val="0"/>
      <w:divBdr>
        <w:top w:val="none" w:sz="0" w:space="0" w:color="auto"/>
        <w:left w:val="none" w:sz="0" w:space="0" w:color="auto"/>
        <w:bottom w:val="none" w:sz="0" w:space="0" w:color="auto"/>
        <w:right w:val="none" w:sz="0" w:space="0" w:color="auto"/>
      </w:divBdr>
    </w:div>
    <w:div w:id="679965630">
      <w:bodyDiv w:val="1"/>
      <w:marLeft w:val="0"/>
      <w:marRight w:val="0"/>
      <w:marTop w:val="0"/>
      <w:marBottom w:val="0"/>
      <w:divBdr>
        <w:top w:val="none" w:sz="0" w:space="0" w:color="auto"/>
        <w:left w:val="none" w:sz="0" w:space="0" w:color="auto"/>
        <w:bottom w:val="none" w:sz="0" w:space="0" w:color="auto"/>
        <w:right w:val="none" w:sz="0" w:space="0" w:color="auto"/>
      </w:divBdr>
    </w:div>
    <w:div w:id="699474549">
      <w:bodyDiv w:val="1"/>
      <w:marLeft w:val="0"/>
      <w:marRight w:val="0"/>
      <w:marTop w:val="0"/>
      <w:marBottom w:val="0"/>
      <w:divBdr>
        <w:top w:val="none" w:sz="0" w:space="0" w:color="auto"/>
        <w:left w:val="none" w:sz="0" w:space="0" w:color="auto"/>
        <w:bottom w:val="none" w:sz="0" w:space="0" w:color="auto"/>
        <w:right w:val="none" w:sz="0" w:space="0" w:color="auto"/>
      </w:divBdr>
    </w:div>
    <w:div w:id="761487935">
      <w:bodyDiv w:val="1"/>
      <w:marLeft w:val="0"/>
      <w:marRight w:val="0"/>
      <w:marTop w:val="0"/>
      <w:marBottom w:val="0"/>
      <w:divBdr>
        <w:top w:val="none" w:sz="0" w:space="0" w:color="auto"/>
        <w:left w:val="none" w:sz="0" w:space="0" w:color="auto"/>
        <w:bottom w:val="none" w:sz="0" w:space="0" w:color="auto"/>
        <w:right w:val="none" w:sz="0" w:space="0" w:color="auto"/>
      </w:divBdr>
    </w:div>
    <w:div w:id="774178688">
      <w:bodyDiv w:val="1"/>
      <w:marLeft w:val="0"/>
      <w:marRight w:val="0"/>
      <w:marTop w:val="0"/>
      <w:marBottom w:val="0"/>
      <w:divBdr>
        <w:top w:val="none" w:sz="0" w:space="0" w:color="auto"/>
        <w:left w:val="none" w:sz="0" w:space="0" w:color="auto"/>
        <w:bottom w:val="none" w:sz="0" w:space="0" w:color="auto"/>
        <w:right w:val="none" w:sz="0" w:space="0" w:color="auto"/>
      </w:divBdr>
      <w:divsChild>
        <w:div w:id="1904637408">
          <w:marLeft w:val="274"/>
          <w:marRight w:val="0"/>
          <w:marTop w:val="0"/>
          <w:marBottom w:val="0"/>
          <w:divBdr>
            <w:top w:val="none" w:sz="0" w:space="0" w:color="auto"/>
            <w:left w:val="none" w:sz="0" w:space="0" w:color="auto"/>
            <w:bottom w:val="none" w:sz="0" w:space="0" w:color="auto"/>
            <w:right w:val="none" w:sz="0" w:space="0" w:color="auto"/>
          </w:divBdr>
        </w:div>
        <w:div w:id="443156567">
          <w:marLeft w:val="274"/>
          <w:marRight w:val="0"/>
          <w:marTop w:val="0"/>
          <w:marBottom w:val="0"/>
          <w:divBdr>
            <w:top w:val="none" w:sz="0" w:space="0" w:color="auto"/>
            <w:left w:val="none" w:sz="0" w:space="0" w:color="auto"/>
            <w:bottom w:val="none" w:sz="0" w:space="0" w:color="auto"/>
            <w:right w:val="none" w:sz="0" w:space="0" w:color="auto"/>
          </w:divBdr>
        </w:div>
      </w:divsChild>
    </w:div>
    <w:div w:id="817065730">
      <w:bodyDiv w:val="1"/>
      <w:marLeft w:val="0"/>
      <w:marRight w:val="0"/>
      <w:marTop w:val="0"/>
      <w:marBottom w:val="0"/>
      <w:divBdr>
        <w:top w:val="none" w:sz="0" w:space="0" w:color="auto"/>
        <w:left w:val="none" w:sz="0" w:space="0" w:color="auto"/>
        <w:bottom w:val="none" w:sz="0" w:space="0" w:color="auto"/>
        <w:right w:val="none" w:sz="0" w:space="0" w:color="auto"/>
      </w:divBdr>
    </w:div>
    <w:div w:id="852689661">
      <w:bodyDiv w:val="1"/>
      <w:marLeft w:val="0"/>
      <w:marRight w:val="0"/>
      <w:marTop w:val="0"/>
      <w:marBottom w:val="0"/>
      <w:divBdr>
        <w:top w:val="none" w:sz="0" w:space="0" w:color="auto"/>
        <w:left w:val="none" w:sz="0" w:space="0" w:color="auto"/>
        <w:bottom w:val="none" w:sz="0" w:space="0" w:color="auto"/>
        <w:right w:val="none" w:sz="0" w:space="0" w:color="auto"/>
      </w:divBdr>
    </w:div>
    <w:div w:id="997806206">
      <w:bodyDiv w:val="1"/>
      <w:marLeft w:val="0"/>
      <w:marRight w:val="0"/>
      <w:marTop w:val="0"/>
      <w:marBottom w:val="0"/>
      <w:divBdr>
        <w:top w:val="none" w:sz="0" w:space="0" w:color="auto"/>
        <w:left w:val="none" w:sz="0" w:space="0" w:color="auto"/>
        <w:bottom w:val="none" w:sz="0" w:space="0" w:color="auto"/>
        <w:right w:val="none" w:sz="0" w:space="0" w:color="auto"/>
      </w:divBdr>
    </w:div>
    <w:div w:id="1146433110">
      <w:bodyDiv w:val="1"/>
      <w:marLeft w:val="0"/>
      <w:marRight w:val="0"/>
      <w:marTop w:val="0"/>
      <w:marBottom w:val="0"/>
      <w:divBdr>
        <w:top w:val="none" w:sz="0" w:space="0" w:color="auto"/>
        <w:left w:val="none" w:sz="0" w:space="0" w:color="auto"/>
        <w:bottom w:val="none" w:sz="0" w:space="0" w:color="auto"/>
        <w:right w:val="none" w:sz="0" w:space="0" w:color="auto"/>
      </w:divBdr>
    </w:div>
    <w:div w:id="1263762403">
      <w:bodyDiv w:val="1"/>
      <w:marLeft w:val="0"/>
      <w:marRight w:val="0"/>
      <w:marTop w:val="0"/>
      <w:marBottom w:val="0"/>
      <w:divBdr>
        <w:top w:val="none" w:sz="0" w:space="0" w:color="auto"/>
        <w:left w:val="none" w:sz="0" w:space="0" w:color="auto"/>
        <w:bottom w:val="none" w:sz="0" w:space="0" w:color="auto"/>
        <w:right w:val="none" w:sz="0" w:space="0" w:color="auto"/>
      </w:divBdr>
    </w:div>
    <w:div w:id="1328245336">
      <w:bodyDiv w:val="1"/>
      <w:marLeft w:val="0"/>
      <w:marRight w:val="0"/>
      <w:marTop w:val="0"/>
      <w:marBottom w:val="0"/>
      <w:divBdr>
        <w:top w:val="none" w:sz="0" w:space="0" w:color="auto"/>
        <w:left w:val="none" w:sz="0" w:space="0" w:color="auto"/>
        <w:bottom w:val="none" w:sz="0" w:space="0" w:color="auto"/>
        <w:right w:val="none" w:sz="0" w:space="0" w:color="auto"/>
      </w:divBdr>
    </w:div>
    <w:div w:id="1432318341">
      <w:bodyDiv w:val="1"/>
      <w:marLeft w:val="0"/>
      <w:marRight w:val="0"/>
      <w:marTop w:val="0"/>
      <w:marBottom w:val="0"/>
      <w:divBdr>
        <w:top w:val="none" w:sz="0" w:space="0" w:color="auto"/>
        <w:left w:val="none" w:sz="0" w:space="0" w:color="auto"/>
        <w:bottom w:val="none" w:sz="0" w:space="0" w:color="auto"/>
        <w:right w:val="none" w:sz="0" w:space="0" w:color="auto"/>
      </w:divBdr>
    </w:div>
    <w:div w:id="1652834387">
      <w:bodyDiv w:val="1"/>
      <w:marLeft w:val="0"/>
      <w:marRight w:val="0"/>
      <w:marTop w:val="0"/>
      <w:marBottom w:val="0"/>
      <w:divBdr>
        <w:top w:val="none" w:sz="0" w:space="0" w:color="auto"/>
        <w:left w:val="none" w:sz="0" w:space="0" w:color="auto"/>
        <w:bottom w:val="none" w:sz="0" w:space="0" w:color="auto"/>
        <w:right w:val="none" w:sz="0" w:space="0" w:color="auto"/>
      </w:divBdr>
    </w:div>
    <w:div w:id="1654021254">
      <w:bodyDiv w:val="1"/>
      <w:marLeft w:val="0"/>
      <w:marRight w:val="0"/>
      <w:marTop w:val="0"/>
      <w:marBottom w:val="0"/>
      <w:divBdr>
        <w:top w:val="none" w:sz="0" w:space="0" w:color="auto"/>
        <w:left w:val="none" w:sz="0" w:space="0" w:color="auto"/>
        <w:bottom w:val="none" w:sz="0" w:space="0" w:color="auto"/>
        <w:right w:val="none" w:sz="0" w:space="0" w:color="auto"/>
      </w:divBdr>
    </w:div>
    <w:div w:id="1760443614">
      <w:bodyDiv w:val="1"/>
      <w:marLeft w:val="0"/>
      <w:marRight w:val="0"/>
      <w:marTop w:val="0"/>
      <w:marBottom w:val="0"/>
      <w:divBdr>
        <w:top w:val="none" w:sz="0" w:space="0" w:color="auto"/>
        <w:left w:val="none" w:sz="0" w:space="0" w:color="auto"/>
        <w:bottom w:val="none" w:sz="0" w:space="0" w:color="auto"/>
        <w:right w:val="none" w:sz="0" w:space="0" w:color="auto"/>
      </w:divBdr>
    </w:div>
    <w:div w:id="1770394061">
      <w:bodyDiv w:val="1"/>
      <w:marLeft w:val="0"/>
      <w:marRight w:val="0"/>
      <w:marTop w:val="0"/>
      <w:marBottom w:val="0"/>
      <w:divBdr>
        <w:top w:val="none" w:sz="0" w:space="0" w:color="auto"/>
        <w:left w:val="none" w:sz="0" w:space="0" w:color="auto"/>
        <w:bottom w:val="none" w:sz="0" w:space="0" w:color="auto"/>
        <w:right w:val="none" w:sz="0" w:space="0" w:color="auto"/>
      </w:divBdr>
    </w:div>
    <w:div w:id="1776898233">
      <w:bodyDiv w:val="1"/>
      <w:marLeft w:val="0"/>
      <w:marRight w:val="0"/>
      <w:marTop w:val="0"/>
      <w:marBottom w:val="0"/>
      <w:divBdr>
        <w:top w:val="none" w:sz="0" w:space="0" w:color="auto"/>
        <w:left w:val="none" w:sz="0" w:space="0" w:color="auto"/>
        <w:bottom w:val="none" w:sz="0" w:space="0" w:color="auto"/>
        <w:right w:val="none" w:sz="0" w:space="0" w:color="auto"/>
      </w:divBdr>
    </w:div>
    <w:div w:id="1855219373">
      <w:bodyDiv w:val="1"/>
      <w:marLeft w:val="0"/>
      <w:marRight w:val="0"/>
      <w:marTop w:val="0"/>
      <w:marBottom w:val="0"/>
      <w:divBdr>
        <w:top w:val="none" w:sz="0" w:space="0" w:color="auto"/>
        <w:left w:val="none" w:sz="0" w:space="0" w:color="auto"/>
        <w:bottom w:val="none" w:sz="0" w:space="0" w:color="auto"/>
        <w:right w:val="none" w:sz="0" w:space="0" w:color="auto"/>
      </w:divBdr>
    </w:div>
    <w:div w:id="1863279988">
      <w:bodyDiv w:val="1"/>
      <w:marLeft w:val="0"/>
      <w:marRight w:val="0"/>
      <w:marTop w:val="0"/>
      <w:marBottom w:val="0"/>
      <w:divBdr>
        <w:top w:val="none" w:sz="0" w:space="0" w:color="auto"/>
        <w:left w:val="none" w:sz="0" w:space="0" w:color="auto"/>
        <w:bottom w:val="none" w:sz="0" w:space="0" w:color="auto"/>
        <w:right w:val="none" w:sz="0" w:space="0" w:color="auto"/>
      </w:divBdr>
    </w:div>
    <w:div w:id="1873490335">
      <w:bodyDiv w:val="1"/>
      <w:marLeft w:val="0"/>
      <w:marRight w:val="0"/>
      <w:marTop w:val="0"/>
      <w:marBottom w:val="0"/>
      <w:divBdr>
        <w:top w:val="none" w:sz="0" w:space="0" w:color="auto"/>
        <w:left w:val="none" w:sz="0" w:space="0" w:color="auto"/>
        <w:bottom w:val="none" w:sz="0" w:space="0" w:color="auto"/>
        <w:right w:val="none" w:sz="0" w:space="0" w:color="auto"/>
      </w:divBdr>
    </w:div>
    <w:div w:id="1930968129">
      <w:bodyDiv w:val="1"/>
      <w:marLeft w:val="0"/>
      <w:marRight w:val="0"/>
      <w:marTop w:val="0"/>
      <w:marBottom w:val="0"/>
      <w:divBdr>
        <w:top w:val="none" w:sz="0" w:space="0" w:color="auto"/>
        <w:left w:val="none" w:sz="0" w:space="0" w:color="auto"/>
        <w:bottom w:val="none" w:sz="0" w:space="0" w:color="auto"/>
        <w:right w:val="none" w:sz="0" w:space="0" w:color="auto"/>
      </w:divBdr>
    </w:div>
    <w:div w:id="1944335440">
      <w:bodyDiv w:val="1"/>
      <w:marLeft w:val="0"/>
      <w:marRight w:val="0"/>
      <w:marTop w:val="0"/>
      <w:marBottom w:val="0"/>
      <w:divBdr>
        <w:top w:val="none" w:sz="0" w:space="0" w:color="auto"/>
        <w:left w:val="none" w:sz="0" w:space="0" w:color="auto"/>
        <w:bottom w:val="none" w:sz="0" w:space="0" w:color="auto"/>
        <w:right w:val="none" w:sz="0" w:space="0" w:color="auto"/>
      </w:divBdr>
    </w:div>
    <w:div w:id="2034920349">
      <w:bodyDiv w:val="1"/>
      <w:marLeft w:val="0"/>
      <w:marRight w:val="0"/>
      <w:marTop w:val="0"/>
      <w:marBottom w:val="0"/>
      <w:divBdr>
        <w:top w:val="none" w:sz="0" w:space="0" w:color="auto"/>
        <w:left w:val="none" w:sz="0" w:space="0" w:color="auto"/>
        <w:bottom w:val="none" w:sz="0" w:space="0" w:color="auto"/>
        <w:right w:val="none" w:sz="0" w:space="0" w:color="auto"/>
      </w:divBdr>
    </w:div>
    <w:div w:id="2058621582">
      <w:bodyDiv w:val="1"/>
      <w:marLeft w:val="0"/>
      <w:marRight w:val="0"/>
      <w:marTop w:val="0"/>
      <w:marBottom w:val="0"/>
      <w:divBdr>
        <w:top w:val="none" w:sz="0" w:space="0" w:color="auto"/>
        <w:left w:val="none" w:sz="0" w:space="0" w:color="auto"/>
        <w:bottom w:val="none" w:sz="0" w:space="0" w:color="auto"/>
        <w:right w:val="none" w:sz="0" w:space="0" w:color="auto"/>
      </w:divBdr>
    </w:div>
    <w:div w:id="209377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BCFFE7-E02F-49D3-873E-07358174A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574</Words>
  <Characters>3277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st</cp:lastModifiedBy>
  <cp:revision>4</cp:revision>
  <dcterms:created xsi:type="dcterms:W3CDTF">2019-02-14T17:55:00Z</dcterms:created>
  <dcterms:modified xsi:type="dcterms:W3CDTF">2019-02-14T18:15:00Z</dcterms:modified>
</cp:coreProperties>
</file>